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3D" w:rsidRPr="00EA653D" w:rsidRDefault="00EA653D" w:rsidP="00EA653D">
      <w:pPr>
        <w:spacing w:before="100" w:beforeAutospacing="1" w:after="100" w:afterAutospacing="1" w:line="240" w:lineRule="auto"/>
        <w:outlineLvl w:val="0"/>
        <w:rPr>
          <w:rFonts w:ascii="Arial" w:eastAsia="Times New Roman" w:hAnsi="Arial" w:cs="Arial"/>
          <w:color w:val="9F372B"/>
          <w:kern w:val="36"/>
          <w:sz w:val="48"/>
          <w:szCs w:val="48"/>
          <w:lang w:eastAsia="ru-RU"/>
        </w:rPr>
      </w:pPr>
      <w:r w:rsidRPr="00EA653D">
        <w:rPr>
          <w:rFonts w:ascii="Arial" w:eastAsia="Times New Roman" w:hAnsi="Arial" w:cs="Arial"/>
          <w:color w:val="9F372B"/>
          <w:kern w:val="36"/>
          <w:sz w:val="48"/>
          <w:szCs w:val="48"/>
          <w:lang w:eastAsia="ru-RU"/>
        </w:rPr>
        <w:t>Положение</w:t>
      </w:r>
    </w:p>
    <w:p w:rsidR="00EA653D" w:rsidRPr="00EA653D" w:rsidRDefault="00EA653D" w:rsidP="00EA653D">
      <w:pPr>
        <w:spacing w:before="240" w:after="240" w:line="240" w:lineRule="auto"/>
        <w:rPr>
          <w:rFonts w:ascii="Arial" w:eastAsia="Times New Roman" w:hAnsi="Arial" w:cs="Arial"/>
          <w:color w:val="606060"/>
          <w:sz w:val="27"/>
          <w:szCs w:val="27"/>
          <w:lang w:eastAsia="ru-RU"/>
        </w:rPr>
      </w:pPr>
      <w:r w:rsidRPr="00EA653D">
        <w:rPr>
          <w:rFonts w:ascii="Arial" w:eastAsia="Times New Roman" w:hAnsi="Arial" w:cs="Arial"/>
          <w:color w:val="606060"/>
          <w:sz w:val="27"/>
          <w:szCs w:val="27"/>
          <w:lang w:eastAsia="ru-RU"/>
        </w:rPr>
        <w:t>о порядке сдачи квалификационного экзамена на присвоение статуса адвоката</w:t>
      </w:r>
    </w:p>
    <w:p w:rsidR="00EA653D" w:rsidRPr="00EA653D" w:rsidRDefault="00EA653D" w:rsidP="00EA653D">
      <w:pPr>
        <w:spacing w:beforeAutospacing="1" w:after="0" w:afterAutospacing="1" w:line="240" w:lineRule="auto"/>
        <w:jc w:val="right"/>
        <w:rPr>
          <w:rFonts w:ascii="Arial" w:eastAsia="Times New Roman" w:hAnsi="Arial" w:cs="Arial"/>
          <w:color w:val="000000"/>
          <w:sz w:val="27"/>
          <w:szCs w:val="27"/>
          <w:lang w:eastAsia="ru-RU"/>
        </w:rPr>
      </w:pPr>
      <w:bookmarkStart w:id="0" w:name="_GoBack"/>
      <w:bookmarkEnd w:id="0"/>
      <w:r w:rsidRPr="00EA653D">
        <w:rPr>
          <w:rFonts w:ascii="Arial" w:eastAsia="Times New Roman" w:hAnsi="Arial" w:cs="Arial"/>
          <w:b/>
          <w:bCs/>
          <w:color w:val="606060"/>
          <w:sz w:val="20"/>
          <w:szCs w:val="20"/>
          <w:lang w:eastAsia="ru-RU"/>
        </w:rPr>
        <w:t>УТВЕРЖДЕНО </w:t>
      </w:r>
      <w:r w:rsidRPr="00EA653D">
        <w:rPr>
          <w:rFonts w:ascii="Arial" w:eastAsia="Times New Roman" w:hAnsi="Arial" w:cs="Arial"/>
          <w:b/>
          <w:bCs/>
          <w:color w:val="606060"/>
          <w:sz w:val="20"/>
          <w:szCs w:val="20"/>
          <w:lang w:eastAsia="ru-RU"/>
        </w:rPr>
        <w:br/>
        <w:t>Советом ФПА РФ </w:t>
      </w:r>
      <w:r w:rsidRPr="00EA653D">
        <w:rPr>
          <w:rFonts w:ascii="Arial" w:eastAsia="Times New Roman" w:hAnsi="Arial" w:cs="Arial"/>
          <w:b/>
          <w:bCs/>
          <w:color w:val="606060"/>
          <w:sz w:val="20"/>
          <w:szCs w:val="20"/>
          <w:lang w:eastAsia="ru-RU"/>
        </w:rPr>
        <w:br/>
        <w:t>25 апреля 2003 г.  (протокол № 2),</w:t>
      </w:r>
    </w:p>
    <w:p w:rsidR="00EA653D" w:rsidRPr="00EA653D" w:rsidRDefault="00EA653D" w:rsidP="00EA653D">
      <w:pPr>
        <w:spacing w:beforeAutospacing="1" w:after="0" w:afterAutospacing="1" w:line="240" w:lineRule="auto"/>
        <w:ind w:left="3600"/>
        <w:jc w:val="right"/>
        <w:rPr>
          <w:rFonts w:ascii="Times New Roman" w:eastAsia="Times New Roman" w:hAnsi="Times New Roman" w:cs="Times New Roman"/>
          <w:color w:val="000000"/>
          <w:sz w:val="24"/>
          <w:szCs w:val="24"/>
          <w:lang w:eastAsia="ru-RU"/>
        </w:rPr>
      </w:pPr>
      <w:r w:rsidRPr="00EA653D">
        <w:rPr>
          <w:rFonts w:ascii="Arial" w:eastAsia="Times New Roman" w:hAnsi="Arial" w:cs="Arial"/>
          <w:b/>
          <w:bCs/>
          <w:color w:val="606060"/>
          <w:spacing w:val="-12"/>
          <w:sz w:val="20"/>
          <w:szCs w:val="20"/>
          <w:lang w:eastAsia="ru-RU"/>
        </w:rPr>
        <w:t>с изменениями и дополнениями, </w:t>
      </w:r>
      <w:r w:rsidRPr="00EA653D">
        <w:rPr>
          <w:rFonts w:ascii="Arial" w:eastAsia="Times New Roman" w:hAnsi="Arial" w:cs="Arial"/>
          <w:b/>
          <w:bCs/>
          <w:color w:val="606060"/>
          <w:spacing w:val="-12"/>
          <w:sz w:val="20"/>
          <w:szCs w:val="20"/>
          <w:lang w:eastAsia="ru-RU"/>
        </w:rPr>
        <w:br/>
        <w:t>внесенными решениями Совета ФПА РФ </w:t>
      </w:r>
      <w:r w:rsidRPr="00EA653D">
        <w:rPr>
          <w:rFonts w:ascii="Arial" w:eastAsia="Times New Roman" w:hAnsi="Arial" w:cs="Arial"/>
          <w:b/>
          <w:bCs/>
          <w:color w:val="606060"/>
          <w:spacing w:val="-12"/>
          <w:sz w:val="20"/>
          <w:szCs w:val="20"/>
          <w:lang w:eastAsia="ru-RU"/>
        </w:rPr>
        <w:br/>
        <w:t>от 25.08.03, протокол № 3; </w:t>
      </w:r>
      <w:r w:rsidRPr="00EA653D">
        <w:rPr>
          <w:rFonts w:ascii="Arial" w:eastAsia="Times New Roman" w:hAnsi="Arial" w:cs="Arial"/>
          <w:b/>
          <w:bCs/>
          <w:color w:val="606060"/>
          <w:spacing w:val="-12"/>
          <w:sz w:val="20"/>
          <w:szCs w:val="20"/>
          <w:lang w:eastAsia="ru-RU"/>
        </w:rPr>
        <w:br/>
        <w:t>от 25.06.04, протокол № 7; </w:t>
      </w:r>
      <w:r w:rsidRPr="00EA653D">
        <w:rPr>
          <w:rFonts w:ascii="Arial" w:eastAsia="Times New Roman" w:hAnsi="Arial" w:cs="Arial"/>
          <w:b/>
          <w:bCs/>
          <w:color w:val="606060"/>
          <w:spacing w:val="-12"/>
          <w:sz w:val="20"/>
          <w:szCs w:val="20"/>
          <w:lang w:eastAsia="ru-RU"/>
        </w:rPr>
        <w:br/>
        <w:t>от 06.09.05, протокол № 3</w:t>
      </w:r>
      <w:r w:rsidRPr="00EA653D">
        <w:rPr>
          <w:rFonts w:ascii="Arial" w:eastAsia="Times New Roman" w:hAnsi="Arial" w:cs="Arial"/>
          <w:b/>
          <w:bCs/>
          <w:color w:val="606060"/>
          <w:sz w:val="20"/>
          <w:szCs w:val="20"/>
          <w:lang w:eastAsia="ru-RU"/>
        </w:rPr>
        <w:t>; </w:t>
      </w:r>
      <w:r w:rsidRPr="00EA653D">
        <w:rPr>
          <w:rFonts w:ascii="Arial" w:eastAsia="Times New Roman" w:hAnsi="Arial" w:cs="Arial"/>
          <w:b/>
          <w:bCs/>
          <w:color w:val="606060"/>
          <w:sz w:val="20"/>
          <w:szCs w:val="20"/>
          <w:lang w:eastAsia="ru-RU"/>
        </w:rPr>
        <w:br/>
        <w:t>от 02.03.06, протокол № 5; </w:t>
      </w:r>
      <w:r w:rsidRPr="00EA653D">
        <w:rPr>
          <w:rFonts w:ascii="Arial" w:eastAsia="Times New Roman" w:hAnsi="Arial" w:cs="Arial"/>
          <w:b/>
          <w:bCs/>
          <w:color w:val="606060"/>
          <w:sz w:val="20"/>
          <w:szCs w:val="20"/>
          <w:lang w:eastAsia="ru-RU"/>
        </w:rPr>
        <w:br/>
        <w:t>от 19.01.07, протокол № 9; </w:t>
      </w:r>
      <w:r w:rsidRPr="00EA653D">
        <w:rPr>
          <w:rFonts w:ascii="Arial" w:eastAsia="Times New Roman" w:hAnsi="Arial" w:cs="Arial"/>
          <w:b/>
          <w:bCs/>
          <w:color w:val="606060"/>
          <w:sz w:val="20"/>
          <w:szCs w:val="20"/>
          <w:lang w:eastAsia="ru-RU"/>
        </w:rPr>
        <w:br/>
        <w:t>от 02.04.10, протокол № 4; </w:t>
      </w:r>
      <w:r w:rsidRPr="00EA653D">
        <w:rPr>
          <w:rFonts w:ascii="Arial" w:eastAsia="Times New Roman" w:hAnsi="Arial" w:cs="Arial"/>
          <w:b/>
          <w:bCs/>
          <w:color w:val="606060"/>
          <w:sz w:val="20"/>
          <w:szCs w:val="20"/>
          <w:lang w:eastAsia="ru-RU"/>
        </w:rPr>
        <w:br/>
        <w:t>от 30.11.10, протокол № 7; </w:t>
      </w:r>
      <w:r w:rsidRPr="00EA653D">
        <w:rPr>
          <w:rFonts w:ascii="Arial" w:eastAsia="Times New Roman" w:hAnsi="Arial" w:cs="Arial"/>
          <w:b/>
          <w:bCs/>
          <w:color w:val="606060"/>
          <w:sz w:val="20"/>
          <w:szCs w:val="20"/>
          <w:lang w:eastAsia="ru-RU"/>
        </w:rPr>
        <w:br/>
        <w:t>от 28.01.16, протокол № 3; </w:t>
      </w:r>
      <w:r w:rsidRPr="00EA653D">
        <w:rPr>
          <w:rFonts w:ascii="Arial" w:eastAsia="Times New Roman" w:hAnsi="Arial" w:cs="Arial"/>
          <w:b/>
          <w:bCs/>
          <w:color w:val="606060"/>
          <w:sz w:val="20"/>
          <w:szCs w:val="20"/>
          <w:lang w:eastAsia="ru-RU"/>
        </w:rPr>
        <w:br/>
      </w:r>
      <w:r w:rsidRPr="00EA653D">
        <w:rPr>
          <w:rFonts w:ascii="Arial" w:eastAsia="Times New Roman" w:hAnsi="Arial" w:cs="Arial"/>
          <w:b/>
          <w:bCs/>
          <w:color w:val="606060"/>
          <w:sz w:val="24"/>
          <w:szCs w:val="24"/>
          <w:lang w:eastAsia="ru-RU"/>
        </w:rPr>
        <w:t xml:space="preserve">от 05.04.16, протокол № </w:t>
      </w:r>
      <w:proofErr w:type="gramStart"/>
      <w:r w:rsidRPr="00EA653D">
        <w:rPr>
          <w:rFonts w:ascii="Arial" w:eastAsia="Times New Roman" w:hAnsi="Arial" w:cs="Arial"/>
          <w:b/>
          <w:bCs/>
          <w:color w:val="606060"/>
          <w:sz w:val="24"/>
          <w:szCs w:val="24"/>
          <w:lang w:eastAsia="ru-RU"/>
        </w:rPr>
        <w:t>4;</w:t>
      </w:r>
      <w:r w:rsidRPr="00EA653D">
        <w:rPr>
          <w:rFonts w:ascii="Arial" w:eastAsia="Times New Roman" w:hAnsi="Arial" w:cs="Arial"/>
          <w:b/>
          <w:bCs/>
          <w:color w:val="606060"/>
          <w:sz w:val="24"/>
          <w:szCs w:val="24"/>
          <w:lang w:eastAsia="ru-RU"/>
        </w:rPr>
        <w:br/>
        <w:t>от</w:t>
      </w:r>
      <w:proofErr w:type="gramEnd"/>
      <w:r w:rsidRPr="00EA653D">
        <w:rPr>
          <w:rFonts w:ascii="Arial" w:eastAsia="Times New Roman" w:hAnsi="Arial" w:cs="Arial"/>
          <w:b/>
          <w:bCs/>
          <w:color w:val="606060"/>
          <w:sz w:val="24"/>
          <w:szCs w:val="24"/>
          <w:lang w:eastAsia="ru-RU"/>
        </w:rPr>
        <w:t xml:space="preserve"> 12.07.16, протокол № 6</w:t>
      </w:r>
      <w:r w:rsidRPr="00EA653D">
        <w:rPr>
          <w:rFonts w:ascii="Arial" w:eastAsia="Times New Roman" w:hAnsi="Arial" w:cs="Arial"/>
          <w:color w:val="606060"/>
          <w:sz w:val="21"/>
          <w:szCs w:val="21"/>
          <w:lang w:eastAsia="ru-RU"/>
        </w:rPr>
        <w:br/>
      </w:r>
      <w:r w:rsidRPr="00EA653D">
        <w:rPr>
          <w:rFonts w:ascii="Arial" w:eastAsia="Times New Roman" w:hAnsi="Arial" w:cs="Arial"/>
          <w:b/>
          <w:bCs/>
          <w:color w:val="606060"/>
          <w:sz w:val="24"/>
          <w:szCs w:val="24"/>
          <w:lang w:eastAsia="ru-RU"/>
        </w:rPr>
        <w:t>от 28.09.16, протокол № 7</w:t>
      </w:r>
    </w:p>
    <w:p w:rsidR="00EA653D" w:rsidRPr="00EA653D" w:rsidRDefault="00EA653D" w:rsidP="00EA653D">
      <w:pPr>
        <w:spacing w:after="0" w:line="240" w:lineRule="auto"/>
        <w:jc w:val="right"/>
        <w:rPr>
          <w:rFonts w:ascii="Arial" w:eastAsia="Times New Roman" w:hAnsi="Arial" w:cs="Arial"/>
          <w:b/>
          <w:bCs/>
          <w:color w:val="000000"/>
          <w:sz w:val="24"/>
          <w:szCs w:val="24"/>
          <w:lang w:eastAsia="ru-RU"/>
        </w:rPr>
      </w:pPr>
      <w:r w:rsidRPr="00EA653D">
        <w:rPr>
          <w:rFonts w:ascii="Arial" w:eastAsia="Times New Roman" w:hAnsi="Arial" w:cs="Arial"/>
          <w:b/>
          <w:bCs/>
          <w:color w:val="000000"/>
          <w:sz w:val="24"/>
          <w:szCs w:val="24"/>
          <w:lang w:eastAsia="ru-RU"/>
        </w:rPr>
        <w:t>(изменения вступили в силу 01.09.16)</w:t>
      </w:r>
    </w:p>
    <w:p w:rsidR="00EA653D" w:rsidRPr="00EA653D" w:rsidRDefault="00EA653D" w:rsidP="00EA653D">
      <w:pPr>
        <w:spacing w:before="240" w:after="240" w:line="270" w:lineRule="atLeast"/>
        <w:rPr>
          <w:rFonts w:ascii="Arial" w:eastAsia="Times New Roman" w:hAnsi="Arial" w:cs="Arial"/>
          <w:b/>
          <w:bCs/>
          <w:color w:val="606060"/>
          <w:sz w:val="21"/>
          <w:szCs w:val="21"/>
          <w:lang w:eastAsia="ru-RU"/>
        </w:rPr>
      </w:pPr>
      <w:r w:rsidRPr="00EA653D">
        <w:rPr>
          <w:rFonts w:ascii="Arial" w:eastAsia="Times New Roman" w:hAnsi="Arial" w:cs="Arial"/>
          <w:b/>
          <w:bCs/>
          <w:color w:val="606060"/>
          <w:sz w:val="21"/>
          <w:szCs w:val="21"/>
          <w:lang w:eastAsia="ru-RU"/>
        </w:rPr>
        <w:t>1. Допуск к квалификационному экзамену</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1.2. К квалификационному экзамену может быть допущено лицо, отвечающее требованиям, предъявляемым Федеральным законом от 31 мая 2002 года «Об адвокатской деятельности и адвокатуре в Российской Федерации» к лицу, претендующему на присвоение статуса адвоката.</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В случаях, когда в паспорте претендента отсутствует отметка о постоянной регистрации, он может обратиться в квалификационную комиссию того субъекта Российской Федерации, в котором претендент зарегистрирован по месту пребывания (временно) и в качестве налогоплательщика.</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1.3. Лицо, претендующее на присвоение статуса адвоката, представляет в квалификационную комиссию следующие документы:1) заявление о присвоение статуса адвоката (приложение № 1); </w:t>
      </w:r>
      <w:r w:rsidRPr="00EA653D">
        <w:rPr>
          <w:rFonts w:ascii="Arial" w:eastAsia="Times New Roman" w:hAnsi="Arial" w:cs="Arial"/>
          <w:color w:val="606060"/>
          <w:sz w:val="21"/>
          <w:szCs w:val="21"/>
          <w:lang w:eastAsia="ru-RU"/>
        </w:rPr>
        <w:br/>
        <w:t>2) копию документа, удостоверяющего его личность, </w:t>
      </w:r>
      <w:r w:rsidRPr="00EA653D">
        <w:rPr>
          <w:rFonts w:ascii="Arial" w:eastAsia="Times New Roman" w:hAnsi="Arial" w:cs="Arial"/>
          <w:color w:val="606060"/>
          <w:spacing w:val="-1"/>
          <w:sz w:val="21"/>
          <w:szCs w:val="21"/>
          <w:lang w:eastAsia="ru-RU"/>
        </w:rPr>
        <w:t xml:space="preserve">с информацией о постоянной (при отсутствии в паспорте претендента постоянной – временной) регистрации по месту жительства </w:t>
      </w:r>
      <w:r w:rsidRPr="00EA653D">
        <w:rPr>
          <w:rFonts w:ascii="Arial" w:eastAsia="Times New Roman" w:hAnsi="Arial" w:cs="Arial"/>
          <w:color w:val="606060"/>
          <w:spacing w:val="-1"/>
          <w:sz w:val="21"/>
          <w:szCs w:val="21"/>
          <w:lang w:eastAsia="ru-RU"/>
        </w:rPr>
        <w:lastRenderedPageBreak/>
        <w:t>на территории субъекта РФ, в котором претендент намерен сдавать квалификационный экзамен; </w:t>
      </w:r>
      <w:r w:rsidRPr="00EA653D">
        <w:rPr>
          <w:rFonts w:ascii="Arial" w:eastAsia="Times New Roman" w:hAnsi="Arial" w:cs="Arial"/>
          <w:color w:val="606060"/>
          <w:spacing w:val="-1"/>
          <w:sz w:val="21"/>
          <w:szCs w:val="21"/>
          <w:lang w:eastAsia="ru-RU"/>
        </w:rPr>
        <w:br/>
      </w:r>
      <w:r w:rsidRPr="00EA653D">
        <w:rPr>
          <w:rFonts w:ascii="Arial" w:eastAsia="Times New Roman" w:hAnsi="Arial" w:cs="Arial"/>
          <w:color w:val="606060"/>
          <w:sz w:val="21"/>
          <w:szCs w:val="21"/>
          <w:lang w:eastAsia="ru-RU"/>
        </w:rPr>
        <w:t>3) анкету, содержащую биографические сведения (приложение № 2); </w:t>
      </w:r>
      <w:r w:rsidRPr="00EA653D">
        <w:rPr>
          <w:rFonts w:ascii="Arial" w:eastAsia="Times New Roman" w:hAnsi="Arial" w:cs="Arial"/>
          <w:color w:val="606060"/>
          <w:sz w:val="21"/>
          <w:szCs w:val="21"/>
          <w:lang w:eastAsia="ru-RU"/>
        </w:rPr>
        <w:br/>
        <w:t>4) копию трудовой книжки или иной документ (иные документы), подтверждающий (подтверждающие) стаж работы по юридической специальности; </w:t>
      </w:r>
      <w:r w:rsidRPr="00EA653D">
        <w:rPr>
          <w:rFonts w:ascii="Arial" w:eastAsia="Times New Roman" w:hAnsi="Arial" w:cs="Arial"/>
          <w:color w:val="606060"/>
          <w:sz w:val="21"/>
          <w:szCs w:val="21"/>
          <w:lang w:eastAsia="ru-RU"/>
        </w:rPr>
        <w:br/>
        <w:t>5) копию документа, подтверждающего высшее юридическое образование либо наличие ученой степени по юридической специальности; </w:t>
      </w:r>
      <w:r w:rsidRPr="00EA653D">
        <w:rPr>
          <w:rFonts w:ascii="Arial" w:eastAsia="Times New Roman" w:hAnsi="Arial" w:cs="Arial"/>
          <w:color w:val="606060"/>
          <w:sz w:val="21"/>
          <w:szCs w:val="21"/>
          <w:lang w:eastAsia="ru-RU"/>
        </w:rPr>
        <w:b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Претенденту может быть предложено представить и другие документы в случаях, предусмотренных законодательством об адвокатской деятельности и адвокатуре.</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 xml:space="preserve">1.4. Председатель квалификационной </w:t>
      </w:r>
      <w:proofErr w:type="spellStart"/>
      <w:r w:rsidRPr="00EA653D">
        <w:rPr>
          <w:rFonts w:ascii="Arial" w:eastAsia="Times New Roman" w:hAnsi="Arial" w:cs="Arial"/>
          <w:color w:val="606060"/>
          <w:sz w:val="21"/>
          <w:szCs w:val="21"/>
          <w:lang w:eastAsia="ru-RU"/>
        </w:rPr>
        <w:t>комиссии:созывает</w:t>
      </w:r>
      <w:proofErr w:type="spellEnd"/>
      <w:r w:rsidRPr="00EA653D">
        <w:rPr>
          <w:rFonts w:ascii="Arial" w:eastAsia="Times New Roman" w:hAnsi="Arial" w:cs="Arial"/>
          <w:color w:val="606060"/>
          <w:sz w:val="21"/>
          <w:szCs w:val="21"/>
          <w:lang w:eastAsia="ru-RU"/>
        </w:rPr>
        <w:t xml:space="preserve"> заседания квалификационной комиссии; </w:t>
      </w:r>
      <w:r w:rsidRPr="00EA653D">
        <w:rPr>
          <w:rFonts w:ascii="Arial" w:eastAsia="Times New Roman" w:hAnsi="Arial" w:cs="Arial"/>
          <w:color w:val="606060"/>
          <w:sz w:val="21"/>
          <w:szCs w:val="21"/>
          <w:lang w:eastAsia="ru-RU"/>
        </w:rPr>
        <w:br/>
        <w:t>организует проверку представленных претендентом документов; </w:t>
      </w:r>
      <w:r w:rsidRPr="00EA653D">
        <w:rPr>
          <w:rFonts w:ascii="Arial" w:eastAsia="Times New Roman" w:hAnsi="Arial" w:cs="Arial"/>
          <w:color w:val="606060"/>
          <w:sz w:val="21"/>
          <w:szCs w:val="21"/>
          <w:lang w:eastAsia="ru-RU"/>
        </w:rPr>
        <w:br/>
        <w:t>назначает дату и время сдачи экзамена; </w:t>
      </w:r>
      <w:r w:rsidRPr="00EA653D">
        <w:rPr>
          <w:rFonts w:ascii="Arial" w:eastAsia="Times New Roman" w:hAnsi="Arial" w:cs="Arial"/>
          <w:color w:val="606060"/>
          <w:sz w:val="21"/>
          <w:szCs w:val="21"/>
          <w:lang w:eastAsia="ru-RU"/>
        </w:rPr>
        <w:br/>
        <w:t>обеспечивает в соответствии с утвержденным советом федеральной адвокатской палаты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 </w:t>
      </w:r>
      <w:r w:rsidRPr="00EA653D">
        <w:rPr>
          <w:rFonts w:ascii="Arial" w:eastAsia="Times New Roman" w:hAnsi="Arial" w:cs="Arial"/>
          <w:color w:val="606060"/>
          <w:sz w:val="21"/>
          <w:szCs w:val="21"/>
          <w:lang w:eastAsia="ru-RU"/>
        </w:rPr>
        <w:br/>
        <w:t>подписывает протокол заседания квалификационной комиссии и другие документы, отражающие работу комиссии; </w:t>
      </w:r>
      <w:r w:rsidRPr="00EA653D">
        <w:rPr>
          <w:rFonts w:ascii="Arial" w:eastAsia="Times New Roman" w:hAnsi="Arial" w:cs="Arial"/>
          <w:color w:val="606060"/>
          <w:sz w:val="21"/>
          <w:szCs w:val="21"/>
          <w:lang w:eastAsia="ru-RU"/>
        </w:rPr>
        <w:br/>
        <w:t>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1.5. Претенденту, представившему указанные документы и отвечающему требованиям, предъявляемым статьей 9 Федерального закона от 31 мая 2002 года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позднее чем за десять дней до экзамена.</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экзамену.1.7. 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 </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EA653D">
        <w:rPr>
          <w:rFonts w:ascii="Arial" w:eastAsia="Times New Roman" w:hAnsi="Arial" w:cs="Arial"/>
          <w:color w:val="606060"/>
          <w:sz w:val="21"/>
          <w:szCs w:val="21"/>
          <w:lang w:eastAsia="ru-RU"/>
        </w:rPr>
        <w:t>ненадлежаще</w:t>
      </w:r>
      <w:proofErr w:type="spellEnd"/>
      <w:r w:rsidRPr="00EA653D">
        <w:rPr>
          <w:rFonts w:ascii="Arial" w:eastAsia="Times New Roman" w:hAnsi="Arial" w:cs="Arial"/>
          <w:color w:val="606060"/>
          <w:sz w:val="21"/>
          <w:szCs w:val="21"/>
          <w:lang w:eastAsia="ru-RU"/>
        </w:rPr>
        <w:t xml:space="preserve"> оформленных документов; </w:t>
      </w:r>
      <w:r w:rsidRPr="00EA653D">
        <w:rPr>
          <w:rFonts w:ascii="Arial" w:eastAsia="Times New Roman" w:hAnsi="Arial" w:cs="Arial"/>
          <w:color w:val="606060"/>
          <w:sz w:val="21"/>
          <w:szCs w:val="21"/>
          <w:lang w:eastAsia="ru-RU"/>
        </w:rPr>
        <w:b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 </w:t>
      </w:r>
      <w:r w:rsidRPr="00EA653D">
        <w:rPr>
          <w:rFonts w:ascii="Arial" w:eastAsia="Times New Roman" w:hAnsi="Arial" w:cs="Arial"/>
          <w:color w:val="606060"/>
          <w:sz w:val="21"/>
          <w:szCs w:val="21"/>
          <w:lang w:eastAsia="ru-RU"/>
        </w:rPr>
        <w:br/>
        <w:t xml:space="preserve">3) в случае отсутствия у претендента двухлетнего стажа работы по юридической </w:t>
      </w:r>
      <w:r w:rsidRPr="00EA653D">
        <w:rPr>
          <w:rFonts w:ascii="Arial" w:eastAsia="Times New Roman" w:hAnsi="Arial" w:cs="Arial"/>
          <w:color w:val="606060"/>
          <w:sz w:val="21"/>
          <w:szCs w:val="21"/>
          <w:lang w:eastAsia="ru-RU"/>
        </w:rPr>
        <w:lastRenderedPageBreak/>
        <w:t>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r w:rsidRPr="00EA653D">
        <w:rPr>
          <w:rFonts w:ascii="Arial" w:eastAsia="Times New Roman" w:hAnsi="Arial" w:cs="Arial"/>
          <w:color w:val="606060"/>
          <w:sz w:val="21"/>
          <w:szCs w:val="21"/>
          <w:lang w:eastAsia="ru-RU"/>
        </w:rPr>
        <w:br/>
        <w:t>4) в случае признания претендента недееспособным или ограниченно дееспособным в установленном законодательством Российской Федерации порядке; </w:t>
      </w:r>
      <w:r w:rsidRPr="00EA653D">
        <w:rPr>
          <w:rFonts w:ascii="Arial" w:eastAsia="Times New Roman" w:hAnsi="Arial" w:cs="Arial"/>
          <w:color w:val="606060"/>
          <w:sz w:val="21"/>
          <w:szCs w:val="21"/>
          <w:lang w:eastAsia="ru-RU"/>
        </w:rPr>
        <w:br/>
        <w:t>5) при наличии у претендента непогашенной или неснятой судимости за совершение умышленного преступления.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b/>
          <w:bCs/>
          <w:color w:val="606060"/>
          <w:sz w:val="21"/>
          <w:szCs w:val="21"/>
          <w:lang w:eastAsia="ru-RU"/>
        </w:rPr>
        <w:t>2. Порядок проведения квалификационного экзамена</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2.3. Претендент допускается к сдаче квалификационного экзамена при наличии документа, удостоверяющего личность.</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 xml:space="preserve">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w:t>
      </w:r>
      <w:r w:rsidRPr="00EA653D">
        <w:rPr>
          <w:rFonts w:ascii="Arial" w:eastAsia="Times New Roman" w:hAnsi="Arial" w:cs="Arial"/>
          <w:color w:val="606060"/>
          <w:sz w:val="21"/>
          <w:szCs w:val="21"/>
          <w:lang w:eastAsia="ru-RU"/>
        </w:rPr>
        <w:lastRenderedPageBreak/>
        <w:t>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которых принимается решение о допуске претендента к устному собеседованию или об отказе в допуске к устному </w:t>
      </w:r>
      <w:proofErr w:type="spellStart"/>
      <w:r w:rsidRPr="00EA653D">
        <w:rPr>
          <w:rFonts w:ascii="Arial" w:eastAsia="Times New Roman" w:hAnsi="Arial" w:cs="Arial"/>
          <w:color w:val="606060"/>
          <w:sz w:val="21"/>
          <w:szCs w:val="21"/>
          <w:lang w:eastAsia="ru-RU"/>
        </w:rPr>
        <w:t>собеседованию.К</w:t>
      </w:r>
      <w:proofErr w:type="spellEnd"/>
      <w:r w:rsidRPr="00EA653D">
        <w:rPr>
          <w:rFonts w:ascii="Arial" w:eastAsia="Times New Roman" w:hAnsi="Arial" w:cs="Arial"/>
          <w:color w:val="606060"/>
          <w:sz w:val="21"/>
          <w:szCs w:val="21"/>
          <w:lang w:eastAsia="ru-RU"/>
        </w:rPr>
        <w:t xml:space="preserve"> устному собеседованию допускаются претенденты, успешно сдавшие часть экзамена в виде письменных ответов на вопросы (тестирование).</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 xml:space="preserve">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w:t>
      </w:r>
      <w:proofErr w:type="spellStart"/>
      <w:r w:rsidRPr="00EA653D">
        <w:rPr>
          <w:rFonts w:ascii="Arial" w:eastAsia="Times New Roman" w:hAnsi="Arial" w:cs="Arial"/>
          <w:color w:val="606060"/>
          <w:sz w:val="21"/>
          <w:szCs w:val="21"/>
          <w:lang w:eastAsia="ru-RU"/>
        </w:rPr>
        <w:t>минут.Во</w:t>
      </w:r>
      <w:proofErr w:type="spellEnd"/>
      <w:r w:rsidRPr="00EA653D">
        <w:rPr>
          <w:rFonts w:ascii="Arial" w:eastAsia="Times New Roman" w:hAnsi="Arial" w:cs="Arial"/>
          <w:color w:val="606060"/>
          <w:sz w:val="21"/>
          <w:szCs w:val="21"/>
          <w:lang w:eastAsia="ru-RU"/>
        </w:rPr>
        <w:t xml:space="preserve">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2.5. Устное собеседование проводится по всем вопросам билета даже в случае, если по какому-либо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lastRenderedPageBreak/>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b/>
          <w:bCs/>
          <w:color w:val="606060"/>
          <w:sz w:val="21"/>
          <w:szCs w:val="21"/>
          <w:lang w:eastAsia="ru-RU"/>
        </w:rPr>
        <w:t>3. Делопроизводство комиссии</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3.1. Делопроизводство квалификационной комиссии возлагается на секретаря и архив.</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EA653D" w:rsidRPr="00EA653D" w:rsidRDefault="00EA653D" w:rsidP="00EA653D">
      <w:pPr>
        <w:spacing w:after="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экзаменуемого.</w:t>
      </w:r>
    </w:p>
    <w:p w:rsidR="00EA653D" w:rsidRPr="00EA653D" w:rsidRDefault="00EA653D" w:rsidP="00EA653D">
      <w:pPr>
        <w:spacing w:before="240" w:after="240"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3.5. Личные дела претендентов, не сдавших экзамены, хранятся в архиве квалификационной комиссии в течение трех лет.</w:t>
      </w:r>
    </w:p>
    <w:p w:rsidR="00EA653D" w:rsidRPr="00EA653D" w:rsidRDefault="00EA653D" w:rsidP="00EA653D">
      <w:pPr>
        <w:spacing w:line="270" w:lineRule="atLeast"/>
        <w:rPr>
          <w:rFonts w:ascii="Arial" w:eastAsia="Times New Roman" w:hAnsi="Arial" w:cs="Arial"/>
          <w:color w:val="606060"/>
          <w:sz w:val="21"/>
          <w:szCs w:val="21"/>
          <w:lang w:eastAsia="ru-RU"/>
        </w:rPr>
      </w:pPr>
      <w:r w:rsidRPr="00EA653D">
        <w:rPr>
          <w:rFonts w:ascii="Arial" w:eastAsia="Times New Roman" w:hAnsi="Arial" w:cs="Arial"/>
          <w:color w:val="606060"/>
          <w:sz w:val="21"/>
          <w:szCs w:val="21"/>
          <w:lang w:eastAsia="ru-RU"/>
        </w:rPr>
        <w:t>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
    <w:p w:rsidR="00DD7533" w:rsidRDefault="00EA653D"/>
    <w:sectPr w:rsidR="00DD7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3D"/>
    <w:rsid w:val="002634CC"/>
    <w:rsid w:val="002B2247"/>
    <w:rsid w:val="00EA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B5C26-1066-415E-B339-9D73C2A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44506">
      <w:bodyDiv w:val="1"/>
      <w:marLeft w:val="0"/>
      <w:marRight w:val="0"/>
      <w:marTop w:val="0"/>
      <w:marBottom w:val="0"/>
      <w:divBdr>
        <w:top w:val="none" w:sz="0" w:space="0" w:color="auto"/>
        <w:left w:val="none" w:sz="0" w:space="0" w:color="auto"/>
        <w:bottom w:val="none" w:sz="0" w:space="0" w:color="auto"/>
        <w:right w:val="none" w:sz="0" w:space="0" w:color="auto"/>
      </w:divBdr>
      <w:divsChild>
        <w:div w:id="1155491325">
          <w:marLeft w:val="0"/>
          <w:marRight w:val="0"/>
          <w:marTop w:val="0"/>
          <w:marBottom w:val="30"/>
          <w:divBdr>
            <w:top w:val="none" w:sz="0" w:space="0" w:color="auto"/>
            <w:left w:val="none" w:sz="0" w:space="0" w:color="auto"/>
            <w:bottom w:val="none" w:sz="0" w:space="0" w:color="auto"/>
            <w:right w:val="none" w:sz="0" w:space="0" w:color="auto"/>
          </w:divBdr>
          <w:divsChild>
            <w:div w:id="522743973">
              <w:marLeft w:val="0"/>
              <w:marRight w:val="0"/>
              <w:marTop w:val="0"/>
              <w:marBottom w:val="0"/>
              <w:divBdr>
                <w:top w:val="none" w:sz="0" w:space="0" w:color="auto"/>
                <w:left w:val="none" w:sz="0" w:space="0" w:color="auto"/>
                <w:bottom w:val="none" w:sz="0" w:space="0" w:color="auto"/>
                <w:right w:val="none" w:sz="0" w:space="0" w:color="auto"/>
              </w:divBdr>
              <w:divsChild>
                <w:div w:id="427308597">
                  <w:marLeft w:val="0"/>
                  <w:marRight w:val="0"/>
                  <w:marTop w:val="0"/>
                  <w:marBottom w:val="0"/>
                  <w:divBdr>
                    <w:top w:val="none" w:sz="0" w:space="0" w:color="auto"/>
                    <w:left w:val="none" w:sz="0" w:space="0" w:color="auto"/>
                    <w:bottom w:val="none" w:sz="0" w:space="0" w:color="auto"/>
                    <w:right w:val="none" w:sz="0" w:space="0" w:color="auto"/>
                  </w:divBdr>
                  <w:divsChild>
                    <w:div w:id="756051533">
                      <w:marLeft w:val="0"/>
                      <w:marRight w:val="0"/>
                      <w:marTop w:val="0"/>
                      <w:marBottom w:val="0"/>
                      <w:divBdr>
                        <w:top w:val="none" w:sz="0" w:space="0" w:color="auto"/>
                        <w:left w:val="none" w:sz="0" w:space="0" w:color="auto"/>
                        <w:bottom w:val="none" w:sz="0" w:space="0" w:color="auto"/>
                        <w:right w:val="none" w:sz="0" w:space="0" w:color="auto"/>
                      </w:divBdr>
                      <w:divsChild>
                        <w:div w:id="47724434">
                          <w:marLeft w:val="150"/>
                          <w:marRight w:val="0"/>
                          <w:marTop w:val="0"/>
                          <w:marBottom w:val="0"/>
                          <w:divBdr>
                            <w:top w:val="none" w:sz="0" w:space="0" w:color="auto"/>
                            <w:left w:val="none" w:sz="0" w:space="0" w:color="auto"/>
                            <w:bottom w:val="none" w:sz="0" w:space="0" w:color="auto"/>
                            <w:right w:val="none" w:sz="0" w:space="0" w:color="auto"/>
                          </w:divBdr>
                        </w:div>
                        <w:div w:id="23094826">
                          <w:marLeft w:val="150"/>
                          <w:marRight w:val="0"/>
                          <w:marTop w:val="0"/>
                          <w:marBottom w:val="0"/>
                          <w:divBdr>
                            <w:top w:val="none" w:sz="0" w:space="0" w:color="auto"/>
                            <w:left w:val="none" w:sz="0" w:space="0" w:color="auto"/>
                            <w:bottom w:val="none" w:sz="0" w:space="0" w:color="auto"/>
                            <w:right w:val="none" w:sz="0" w:space="0" w:color="auto"/>
                          </w:divBdr>
                        </w:div>
                        <w:div w:id="2129161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235">
              <w:marLeft w:val="0"/>
              <w:marRight w:val="0"/>
              <w:marTop w:val="0"/>
              <w:marBottom w:val="30"/>
              <w:divBdr>
                <w:top w:val="none" w:sz="0" w:space="0" w:color="auto"/>
                <w:left w:val="none" w:sz="0" w:space="0" w:color="auto"/>
                <w:bottom w:val="none" w:sz="0" w:space="0" w:color="auto"/>
                <w:right w:val="none" w:sz="0" w:space="0" w:color="auto"/>
              </w:divBdr>
              <w:divsChild>
                <w:div w:id="615213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cp:revision>
  <dcterms:created xsi:type="dcterms:W3CDTF">2017-05-25T12:06:00Z</dcterms:created>
  <dcterms:modified xsi:type="dcterms:W3CDTF">2017-05-25T12:09:00Z</dcterms:modified>
</cp:coreProperties>
</file>